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005EC" w14:paraId="7387577D" w14:textId="77777777">
        <w:tc>
          <w:tcPr>
            <w:tcW w:w="10080" w:type="dxa"/>
            <w:tcBorders>
              <w:top w:val="none" w:sz="0" w:space="0" w:color="FFFFFF"/>
              <w:left w:val="none" w:sz="0" w:space="0" w:color="FFFFFF"/>
              <w:bottom w:val="none" w:sz="0" w:space="0" w:color="FFFFFF"/>
              <w:right w:val="none" w:sz="0" w:space="0" w:color="FFFFFF"/>
            </w:tcBorders>
            <w:shd w:val="clear" w:color="auto" w:fill="1B3A5C"/>
            <w:tcMar>
              <w:top w:w="320" w:type="dxa"/>
              <w:left w:w="440" w:type="dxa"/>
              <w:bottom w:w="260" w:type="dxa"/>
              <w:right w:w="440" w:type="dxa"/>
            </w:tcMar>
          </w:tcPr>
          <w:p w14:paraId="2DE21780" w14:textId="77777777" w:rsidR="00C005EC" w:rsidRDefault="00000000">
            <w:pPr>
              <w:spacing w:after="80"/>
              <w:jc w:val="center"/>
            </w:pPr>
            <w:r>
              <w:rPr>
                <w:rFonts w:ascii="Calibri" w:eastAsia="Calibri" w:hAnsi="Calibri" w:cs="Calibri"/>
                <w:b/>
                <w:bCs/>
                <w:color w:val="FFFFFF"/>
                <w:spacing w:val="100"/>
                <w:sz w:val="52"/>
                <w:szCs w:val="52"/>
              </w:rPr>
              <w:t>Nayan Ghosh</w:t>
            </w:r>
          </w:p>
          <w:p w14:paraId="55AC5DA5" w14:textId="77777777" w:rsidR="00C005EC" w:rsidRPr="00990C1D" w:rsidRDefault="00000000">
            <w:pPr>
              <w:spacing w:after="120"/>
              <w:jc w:val="center"/>
              <w:rPr>
                <w:sz w:val="22"/>
                <w:szCs w:val="22"/>
              </w:rPr>
            </w:pPr>
            <w:r>
              <w:rPr>
                <w:rFonts w:ascii="Calibri" w:eastAsia="Calibri" w:hAnsi="Calibri" w:cs="Calibri"/>
                <w:i/>
                <w:iCs/>
                <w:color w:val="D0E4F5"/>
                <w:sz w:val="22"/>
                <w:szCs w:val="22"/>
              </w:rPr>
              <w:t>Product &amp; Strategy Leader | AI-Assisted Decisioning | Risk &amp; Controls | Data Analytics</w:t>
            </w:r>
          </w:p>
          <w:p w14:paraId="50915C1B" w14:textId="77777777" w:rsidR="00C005EC" w:rsidRDefault="00000000">
            <w:pPr>
              <w:jc w:val="center"/>
            </w:pPr>
            <w:r>
              <w:rPr>
                <w:rFonts w:ascii="Calibri" w:eastAsia="Calibri" w:hAnsi="Calibri" w:cs="Calibri"/>
                <w:color w:val="FFFFFF"/>
                <w:sz w:val="18"/>
                <w:szCs w:val="18"/>
              </w:rPr>
              <w:t>+91 7506032401  |  nayangh@gmail.com  |  linkedin.com/in/nayangh  |</w:t>
            </w:r>
          </w:p>
        </w:tc>
      </w:tr>
    </w:tbl>
    <w:p w14:paraId="2A3454E4" w14:textId="77777777" w:rsidR="00C005EC" w:rsidRDefault="00C005EC">
      <w:pPr>
        <w:spacing w:before="18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005EC" w14:paraId="64ADF3A8" w14:textId="77777777">
        <w:tc>
          <w:tcPr>
            <w:tcW w:w="10080" w:type="dxa"/>
            <w:tcBorders>
              <w:top w:val="none" w:sz="0" w:space="0" w:color="FFFFFF"/>
              <w:left w:val="single" w:sz="28" w:space="0" w:color="2E75B6"/>
              <w:bottom w:val="none" w:sz="0" w:space="0" w:color="FFFFFF"/>
              <w:right w:val="none" w:sz="0" w:space="0" w:color="FFFFFF"/>
            </w:tcBorders>
            <w:shd w:val="clear" w:color="auto" w:fill="EBF2FA"/>
            <w:tcMar>
              <w:top w:w="120" w:type="dxa"/>
              <w:left w:w="200" w:type="dxa"/>
              <w:bottom w:w="120" w:type="dxa"/>
              <w:right w:w="200" w:type="dxa"/>
            </w:tcMar>
          </w:tcPr>
          <w:p w14:paraId="34A979AF" w14:textId="77777777" w:rsidR="00C005EC" w:rsidRDefault="00000000">
            <w:r>
              <w:rPr>
                <w:rFonts w:ascii="Calibri" w:eastAsia="Calibri" w:hAnsi="Calibri" w:cs="Calibri"/>
                <w:i/>
                <w:iCs/>
                <w:color w:val="1A1A1A"/>
                <w:sz w:val="19"/>
                <w:szCs w:val="19"/>
              </w:rPr>
              <w:t>Data driven AI Product Manager experienced in delivering strategic initiatives from inception to launch and leading large-scale collaborative projects across various LOBs within the Banking and Fintech industry. I have over 15 years of experience in Product Management, End to end Campaign management, Rules and Decisions Management, Marketing, Data Analytics, Credit Card Operations, Customer Experience and Quality Control, Risk and Controls Management with a proven track record in the Scrum Agile framework and Audit readiness.</w:t>
            </w:r>
          </w:p>
        </w:tc>
      </w:tr>
    </w:tbl>
    <w:p w14:paraId="00696002" w14:textId="77777777" w:rsidR="00C005EC" w:rsidRDefault="00000000">
      <w:pPr>
        <w:spacing w:before="220" w:after="60"/>
      </w:pPr>
      <w:r>
        <w:rPr>
          <w:rFonts w:ascii="Calibri" w:eastAsia="Calibri" w:hAnsi="Calibri" w:cs="Calibri"/>
          <w:b/>
          <w:bCs/>
          <w:color w:val="1B3A5C"/>
          <w:spacing w:val="60"/>
          <w:sz w:val="22"/>
          <w:szCs w:val="22"/>
        </w:rPr>
        <w:t>PROFESSIONAL EXPERIENCE</w:t>
      </w:r>
    </w:p>
    <w:p w14:paraId="6594D662" w14:textId="77777777" w:rsidR="00C005EC" w:rsidRDefault="00C005EC">
      <w:pPr>
        <w:pBdr>
          <w:bottom w:val="single" w:sz="10" w:space="0" w:color="2E75B6"/>
        </w:pBdr>
        <w:spacing w:after="100"/>
      </w:pPr>
    </w:p>
    <w:p w14:paraId="19F16D82" w14:textId="77777777" w:rsidR="00C005EC" w:rsidRDefault="00000000">
      <w:pPr>
        <w:spacing w:before="80" w:after="40"/>
      </w:pPr>
      <w:r>
        <w:rPr>
          <w:rFonts w:ascii="Calibri" w:eastAsia="Calibri" w:hAnsi="Calibri" w:cs="Calibri"/>
          <w:b/>
          <w:bCs/>
          <w:color w:val="1B3A5C"/>
          <w:sz w:val="22"/>
          <w:szCs w:val="22"/>
        </w:rPr>
        <w:t>JP Morgan Chase</w:t>
      </w:r>
      <w:r>
        <w:rPr>
          <w:rFonts w:ascii="Calibri" w:eastAsia="Calibri" w:hAnsi="Calibri" w:cs="Calibri"/>
          <w:i/>
          <w:iCs/>
          <w:color w:val="555555"/>
        </w:rPr>
        <w:t xml:space="preserve"> 2011 – Present</w:t>
      </w:r>
    </w:p>
    <w:p w14:paraId="5E02D869" w14:textId="77777777" w:rsidR="00C005EC" w:rsidRDefault="00000000">
      <w:pPr>
        <w:tabs>
          <w:tab w:val="right" w:pos="10080"/>
        </w:tabs>
        <w:spacing w:before="160" w:after="30"/>
      </w:pPr>
      <w:r>
        <w:rPr>
          <w:rFonts w:ascii="Calibri" w:eastAsia="Calibri" w:hAnsi="Calibri" w:cs="Calibri"/>
          <w:b/>
          <w:bCs/>
          <w:color w:val="1B3A5C"/>
          <w:sz w:val="21"/>
          <w:szCs w:val="21"/>
        </w:rPr>
        <w:t>Product Manager – Card Pricing | JP Morgan &amp; Chase | Mumbai</w:t>
      </w:r>
      <w:r>
        <w:tab/>
      </w:r>
      <w:r>
        <w:rPr>
          <w:rFonts w:ascii="Calibri" w:eastAsia="Calibri" w:hAnsi="Calibri" w:cs="Calibri"/>
          <w:i/>
          <w:iCs/>
          <w:color w:val="555555"/>
          <w:sz w:val="18"/>
          <w:szCs w:val="18"/>
        </w:rPr>
        <w:t>Nov 2023–Present</w:t>
      </w:r>
    </w:p>
    <w:p w14:paraId="2E351939"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Led the transformation &amp; migration of fee refund decisioning from Legacy platform to AI enabled Decision Management system. Reduced fee refund rule deployment timelines from </w:t>
      </w:r>
      <w:r>
        <w:rPr>
          <w:rFonts w:ascii="Calibri" w:eastAsia="Calibri" w:hAnsi="Calibri" w:cs="Calibri"/>
          <w:b/>
          <w:bCs/>
          <w:color w:val="1A1A1A"/>
          <w:sz w:val="19"/>
          <w:szCs w:val="19"/>
        </w:rPr>
        <w:t>3–6 months to 1–2 sprints (≤75% faster)</w:t>
      </w:r>
      <w:r>
        <w:rPr>
          <w:rFonts w:ascii="Calibri" w:eastAsia="Calibri" w:hAnsi="Calibri" w:cs="Calibri"/>
          <w:color w:val="1A1A1A"/>
          <w:sz w:val="19"/>
          <w:szCs w:val="19"/>
        </w:rPr>
        <w:t xml:space="preserve">, accelerating response to regulatory and audit requirements. Eliminated dependency on Fraud Risk by establishing </w:t>
      </w:r>
      <w:r>
        <w:rPr>
          <w:rFonts w:ascii="Calibri" w:eastAsia="Calibri" w:hAnsi="Calibri" w:cs="Calibri"/>
          <w:b/>
          <w:bCs/>
          <w:color w:val="1A1A1A"/>
          <w:sz w:val="19"/>
          <w:szCs w:val="19"/>
        </w:rPr>
        <w:t>end-to-end Pricing ownership</w:t>
      </w:r>
      <w:r>
        <w:rPr>
          <w:rFonts w:ascii="Calibri" w:eastAsia="Calibri" w:hAnsi="Calibri" w:cs="Calibri"/>
          <w:color w:val="1A1A1A"/>
          <w:sz w:val="19"/>
          <w:szCs w:val="19"/>
        </w:rPr>
        <w:t xml:space="preserve">, improving operational efficiency and reducing cross-team delays by </w:t>
      </w:r>
      <w:r>
        <w:rPr>
          <w:rFonts w:ascii="Calibri" w:eastAsia="Calibri" w:hAnsi="Calibri" w:cs="Calibri"/>
          <w:b/>
          <w:bCs/>
          <w:color w:val="1A1A1A"/>
          <w:sz w:val="19"/>
          <w:szCs w:val="19"/>
        </w:rPr>
        <w:t>40%</w:t>
      </w:r>
      <w:r>
        <w:rPr>
          <w:rFonts w:ascii="Calibri" w:eastAsia="Calibri" w:hAnsi="Calibri" w:cs="Calibri"/>
          <w:color w:val="1A1A1A"/>
          <w:sz w:val="19"/>
          <w:szCs w:val="19"/>
        </w:rPr>
        <w:t xml:space="preserve">. Replaced “allow-all” logic with </w:t>
      </w:r>
      <w:r>
        <w:rPr>
          <w:rFonts w:ascii="Calibri" w:eastAsia="Calibri" w:hAnsi="Calibri" w:cs="Calibri"/>
          <w:b/>
          <w:bCs/>
          <w:color w:val="1A1A1A"/>
          <w:sz w:val="19"/>
          <w:szCs w:val="19"/>
        </w:rPr>
        <w:t>condition-based decisioning</w:t>
      </w:r>
      <w:r>
        <w:rPr>
          <w:rFonts w:ascii="Calibri" w:eastAsia="Calibri" w:hAnsi="Calibri" w:cs="Calibri"/>
          <w:color w:val="1A1A1A"/>
          <w:sz w:val="19"/>
          <w:szCs w:val="19"/>
        </w:rPr>
        <w:t xml:space="preserve">, reducing </w:t>
      </w:r>
      <w:r>
        <w:rPr>
          <w:rFonts w:ascii="Calibri" w:eastAsia="Calibri" w:hAnsi="Calibri" w:cs="Calibri"/>
          <w:b/>
          <w:bCs/>
          <w:color w:val="1A1A1A"/>
          <w:sz w:val="19"/>
          <w:szCs w:val="19"/>
        </w:rPr>
        <w:t>inappropriate refunds by 35%</w:t>
      </w:r>
      <w:r>
        <w:rPr>
          <w:rFonts w:ascii="Calibri" w:eastAsia="Calibri" w:hAnsi="Calibri" w:cs="Calibri"/>
          <w:color w:val="1A1A1A"/>
          <w:sz w:val="19"/>
          <w:szCs w:val="19"/>
        </w:rPr>
        <w:t xml:space="preserve"> and strengthening audit compliance. Implemented unified service integration, improving processing time by </w:t>
      </w:r>
      <w:r>
        <w:rPr>
          <w:rFonts w:ascii="Calibri" w:eastAsia="Calibri" w:hAnsi="Calibri" w:cs="Calibri"/>
          <w:b/>
          <w:bCs/>
          <w:color w:val="1A1A1A"/>
          <w:sz w:val="19"/>
          <w:szCs w:val="19"/>
        </w:rPr>
        <w:t>30%</w:t>
      </w:r>
      <w:r>
        <w:rPr>
          <w:rFonts w:ascii="Calibri" w:eastAsia="Calibri" w:hAnsi="Calibri" w:cs="Calibri"/>
          <w:color w:val="1A1A1A"/>
          <w:sz w:val="19"/>
          <w:szCs w:val="19"/>
        </w:rPr>
        <w:t xml:space="preserve"> and enhancing customer experience.</w:t>
      </w:r>
    </w:p>
    <w:p w14:paraId="46157AD2"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Launched “</w:t>
      </w:r>
      <w:r>
        <w:rPr>
          <w:rFonts w:ascii="Calibri" w:eastAsia="Calibri" w:hAnsi="Calibri" w:cs="Calibri"/>
          <w:b/>
          <w:bCs/>
          <w:color w:val="1A1A1A"/>
          <w:sz w:val="19"/>
          <w:szCs w:val="19"/>
        </w:rPr>
        <w:t>First Plan Free</w:t>
      </w:r>
      <w:r>
        <w:rPr>
          <w:rFonts w:ascii="Calibri" w:eastAsia="Calibri" w:hAnsi="Calibri" w:cs="Calibri"/>
          <w:color w:val="1A1A1A"/>
          <w:sz w:val="19"/>
          <w:szCs w:val="19"/>
        </w:rPr>
        <w:t xml:space="preserve">” acquisition campaign to accelerate first-time adoption and downstream fee-bearing repeat usage. Built and deployed CPOT propensity model suite (first-time enrollment + repeat usage) and operationalized score ingestion to shift from broad segmentation to individualized targeting, </w:t>
      </w:r>
      <w:r>
        <w:rPr>
          <w:rFonts w:ascii="Calibri" w:eastAsia="Calibri" w:hAnsi="Calibri" w:cs="Calibri"/>
          <w:b/>
          <w:bCs/>
          <w:color w:val="1A1A1A"/>
          <w:sz w:val="19"/>
          <w:szCs w:val="19"/>
        </w:rPr>
        <w:t>propensity-model take rate is +222%, overall originations are +31%, repeat originations are +29%.</w:t>
      </w:r>
      <w:r>
        <w:rPr>
          <w:rFonts w:ascii="Calibri" w:eastAsia="Calibri" w:hAnsi="Calibri" w:cs="Calibri"/>
          <w:color w:val="1A1A1A"/>
          <w:sz w:val="19"/>
          <w:szCs w:val="19"/>
        </w:rPr>
        <w:t xml:space="preserve"> Improved marketing efficiency by focusing incentives on top 4 deciles—projected </w:t>
      </w:r>
      <w:r>
        <w:rPr>
          <w:rFonts w:ascii="Calibri" w:eastAsia="Calibri" w:hAnsi="Calibri" w:cs="Calibri"/>
          <w:b/>
          <w:bCs/>
          <w:color w:val="1A1A1A"/>
          <w:sz w:val="19"/>
          <w:szCs w:val="19"/>
        </w:rPr>
        <w:t>~2.5x response rate with ~50% lower targeted volume, increasing NPV</w:t>
      </w:r>
      <w:r>
        <w:rPr>
          <w:rFonts w:ascii="Calibri" w:eastAsia="Calibri" w:hAnsi="Calibri" w:cs="Calibri"/>
          <w:color w:val="1A1A1A"/>
          <w:sz w:val="19"/>
          <w:szCs w:val="19"/>
        </w:rPr>
        <w:t xml:space="preserve"> per responder. </w:t>
      </w:r>
      <w:r>
        <w:rPr>
          <w:rFonts w:ascii="Calibri" w:eastAsia="Calibri" w:hAnsi="Calibri" w:cs="Calibri"/>
          <w:b/>
          <w:bCs/>
          <w:color w:val="1A1A1A"/>
          <w:sz w:val="19"/>
          <w:szCs w:val="19"/>
        </w:rPr>
        <w:t>Pre schedule deployment</w:t>
      </w:r>
      <w:r>
        <w:rPr>
          <w:rFonts w:ascii="Calibri" w:eastAsia="Calibri" w:hAnsi="Calibri" w:cs="Calibri"/>
          <w:color w:val="1A1A1A"/>
          <w:sz w:val="19"/>
          <w:szCs w:val="19"/>
        </w:rPr>
        <w:t xml:space="preserve"> through cross-functional execution across Modelling, D&amp;A, Pricing, Product, Marketing, and Finance; established weekly-to-monthly performance reporting cadence.</w:t>
      </w:r>
    </w:p>
    <w:p w14:paraId="41159F55"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Directed a cross-functional team of 10 in the development and launch of Amazon Promo Financing, enabling Chase customers to utilize APF on external sites, resulting in an approximate revenue generation of </w:t>
      </w:r>
      <w:r>
        <w:rPr>
          <w:rFonts w:ascii="Calibri" w:eastAsia="Calibri" w:hAnsi="Calibri" w:cs="Calibri"/>
          <w:b/>
          <w:bCs/>
          <w:color w:val="1A1A1A"/>
          <w:sz w:val="19"/>
          <w:szCs w:val="19"/>
        </w:rPr>
        <w:t>$32M</w:t>
      </w:r>
      <w:r>
        <w:rPr>
          <w:rFonts w:ascii="Calibri" w:eastAsia="Calibri" w:hAnsi="Calibri" w:cs="Calibri"/>
          <w:color w:val="1A1A1A"/>
          <w:sz w:val="19"/>
          <w:szCs w:val="19"/>
        </w:rPr>
        <w:t>. Applied AI-driven analysis to customer behavior and transaction data to identify product opportunities and prioritize roadmap investments.</w:t>
      </w:r>
    </w:p>
    <w:p w14:paraId="758E5FEF"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Successfully led the 2025 Card Pricing Audit, driving cross-functional remediation, strengthening pricing governance and controls, and securing a </w:t>
      </w:r>
      <w:r>
        <w:rPr>
          <w:rFonts w:ascii="Calibri" w:eastAsia="Calibri" w:hAnsi="Calibri" w:cs="Calibri"/>
          <w:b/>
          <w:bCs/>
          <w:color w:val="1A1A1A"/>
          <w:sz w:val="19"/>
          <w:szCs w:val="19"/>
        </w:rPr>
        <w:t>strong audit rating</w:t>
      </w:r>
      <w:r>
        <w:rPr>
          <w:rFonts w:ascii="Calibri" w:eastAsia="Calibri" w:hAnsi="Calibri" w:cs="Calibri"/>
          <w:color w:val="1A1A1A"/>
          <w:sz w:val="19"/>
          <w:szCs w:val="19"/>
        </w:rPr>
        <w:t xml:space="preserve"> through proactive risk identification and implementing enhanced pricing controls, documentation, and monitoring mechanisms. Embedded AI-supported monitoring and anomaly detection into pricing and decision workflows, strengthening control effectiveness and </w:t>
      </w:r>
      <w:r>
        <w:rPr>
          <w:rFonts w:ascii="Calibri" w:eastAsia="Calibri" w:hAnsi="Calibri" w:cs="Calibri"/>
          <w:b/>
          <w:bCs/>
          <w:color w:val="1A1A1A"/>
          <w:sz w:val="19"/>
          <w:szCs w:val="19"/>
        </w:rPr>
        <w:t>audit readiness</w:t>
      </w:r>
      <w:r>
        <w:rPr>
          <w:rFonts w:ascii="Calibri" w:eastAsia="Calibri" w:hAnsi="Calibri" w:cs="Calibri"/>
          <w:color w:val="1A1A1A"/>
          <w:sz w:val="19"/>
          <w:szCs w:val="19"/>
        </w:rPr>
        <w:t>.</w:t>
      </w:r>
    </w:p>
    <w:p w14:paraId="72034EC7"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Streamlined the “Follow the Money” module for automated transaction rebills (Merchant Disputes), delivering </w:t>
      </w:r>
      <w:r>
        <w:rPr>
          <w:rFonts w:ascii="Calibri" w:eastAsia="Calibri" w:hAnsi="Calibri" w:cs="Calibri"/>
          <w:b/>
          <w:bCs/>
          <w:color w:val="1A1A1A"/>
          <w:sz w:val="19"/>
          <w:szCs w:val="19"/>
        </w:rPr>
        <w:t>$1.2M+</w:t>
      </w:r>
      <w:r>
        <w:rPr>
          <w:rFonts w:ascii="Calibri" w:eastAsia="Calibri" w:hAnsi="Calibri" w:cs="Calibri"/>
          <w:color w:val="1A1A1A"/>
          <w:sz w:val="19"/>
          <w:szCs w:val="19"/>
        </w:rPr>
        <w:t xml:space="preserve"> in annual savings and significantly improving operational efficiency; successfully navigated complex </w:t>
      </w:r>
      <w:r>
        <w:rPr>
          <w:rFonts w:ascii="Calibri" w:eastAsia="Calibri" w:hAnsi="Calibri" w:cs="Calibri"/>
          <w:b/>
          <w:bCs/>
          <w:color w:val="1A1A1A"/>
          <w:sz w:val="19"/>
          <w:szCs w:val="19"/>
        </w:rPr>
        <w:t>cross-product and cross-LOB dependencies</w:t>
      </w:r>
      <w:r>
        <w:rPr>
          <w:rFonts w:ascii="Calibri" w:eastAsia="Calibri" w:hAnsi="Calibri" w:cs="Calibri"/>
          <w:color w:val="1A1A1A"/>
          <w:sz w:val="19"/>
          <w:szCs w:val="19"/>
        </w:rPr>
        <w:t xml:space="preserve"> by influencing stakeholders, aligning competing priorities, and ensuring timely delivery of all upstream integrations to enable on-schedule deployment.</w:t>
      </w:r>
    </w:p>
    <w:p w14:paraId="03F22B59"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Led the migration of several rules and decision management systems related to customer interactions, improving decision-making processes and customer experience across various campaigns. Example: First Plan Free eligibility, Product Trade rules and many more. Designed and governed </w:t>
      </w:r>
      <w:r>
        <w:rPr>
          <w:rFonts w:ascii="Calibri" w:eastAsia="Calibri" w:hAnsi="Calibri" w:cs="Calibri"/>
          <w:b/>
          <w:bCs/>
          <w:color w:val="1A1A1A"/>
          <w:sz w:val="19"/>
          <w:szCs w:val="19"/>
        </w:rPr>
        <w:t>AI-assisted decision frameworks</w:t>
      </w:r>
      <w:r>
        <w:rPr>
          <w:rFonts w:ascii="Calibri" w:eastAsia="Calibri" w:hAnsi="Calibri" w:cs="Calibri"/>
          <w:color w:val="1A1A1A"/>
          <w:sz w:val="19"/>
          <w:szCs w:val="19"/>
        </w:rPr>
        <w:t xml:space="preserve"> (pricing, eligibility, risk thresholds), improving decision accuracy and reducing manual overrides while maintaining regulatory compliance.</w:t>
      </w:r>
    </w:p>
    <w:p w14:paraId="7C759CF7"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Modernized the 6-month review process on AWS, reducing reliance on aged systems and improving reviewing efficiency with an updated Rules and Decisions framework.</w:t>
      </w:r>
    </w:p>
    <w:p w14:paraId="4713B34E"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Accelerated CIT (Change in Terms) campaign timelines by implementing AI enabled rules and decision engine that increased </w:t>
      </w:r>
      <w:r>
        <w:rPr>
          <w:rFonts w:ascii="Calibri" w:eastAsia="Calibri" w:hAnsi="Calibri" w:cs="Calibri"/>
          <w:b/>
          <w:bCs/>
          <w:color w:val="1A1A1A"/>
          <w:sz w:val="19"/>
          <w:szCs w:val="19"/>
        </w:rPr>
        <w:t>speed to market by 50%.</w:t>
      </w:r>
    </w:p>
    <w:p w14:paraId="38724150" w14:textId="77777777" w:rsidR="00E7720D" w:rsidRDefault="00E7720D">
      <w:pPr>
        <w:tabs>
          <w:tab w:val="right" w:pos="10080"/>
        </w:tabs>
        <w:spacing w:before="160" w:after="30"/>
        <w:rPr>
          <w:rFonts w:ascii="Calibri" w:eastAsia="Calibri" w:hAnsi="Calibri" w:cs="Calibri"/>
          <w:b/>
          <w:bCs/>
          <w:color w:val="1B3A5C"/>
          <w:sz w:val="21"/>
          <w:szCs w:val="21"/>
        </w:rPr>
      </w:pPr>
    </w:p>
    <w:p w14:paraId="59D28FAD" w14:textId="1B12B9E5" w:rsidR="00C005EC" w:rsidRDefault="00000000">
      <w:pPr>
        <w:tabs>
          <w:tab w:val="right" w:pos="10080"/>
        </w:tabs>
        <w:spacing w:before="160" w:after="30"/>
      </w:pPr>
      <w:r>
        <w:rPr>
          <w:rFonts w:ascii="Calibri" w:eastAsia="Calibri" w:hAnsi="Calibri" w:cs="Calibri"/>
          <w:b/>
          <w:bCs/>
          <w:color w:val="1B3A5C"/>
          <w:sz w:val="21"/>
          <w:szCs w:val="21"/>
        </w:rPr>
        <w:lastRenderedPageBreak/>
        <w:t>Campaign Manager – AdOps Marketing Channel Services | JP Morgan &amp; Chase | Mumbai</w:t>
      </w:r>
      <w:r>
        <w:tab/>
      </w:r>
      <w:r>
        <w:rPr>
          <w:rFonts w:ascii="Calibri" w:eastAsia="Calibri" w:hAnsi="Calibri" w:cs="Calibri"/>
          <w:i/>
          <w:iCs/>
          <w:color w:val="555555"/>
          <w:sz w:val="18"/>
          <w:szCs w:val="18"/>
        </w:rPr>
        <w:t>May 2021–Nov 2023</w:t>
      </w:r>
    </w:p>
    <w:p w14:paraId="7DDEBF9A"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Led end-to-end campaign management process across owned media platforms, ensuring all campaigns complied with best practices and exceeded performance goals (KPIs).</w:t>
      </w:r>
    </w:p>
    <w:p w14:paraId="65697C64"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Achieved a perfect deployment record for over </w:t>
      </w:r>
      <w:r>
        <w:rPr>
          <w:rFonts w:ascii="Calibri" w:eastAsia="Calibri" w:hAnsi="Calibri" w:cs="Calibri"/>
          <w:b/>
          <w:bCs/>
          <w:color w:val="1A1A1A"/>
          <w:sz w:val="19"/>
          <w:szCs w:val="19"/>
        </w:rPr>
        <w:t>400 campaigns</w:t>
      </w:r>
      <w:r>
        <w:rPr>
          <w:rFonts w:ascii="Calibri" w:eastAsia="Calibri" w:hAnsi="Calibri" w:cs="Calibri"/>
          <w:color w:val="1A1A1A"/>
          <w:sz w:val="19"/>
          <w:szCs w:val="19"/>
        </w:rPr>
        <w:t xml:space="preserve"> while implementing data-driven targeting strategies and </w:t>
      </w:r>
      <w:r>
        <w:rPr>
          <w:rFonts w:ascii="Calibri" w:eastAsia="Calibri" w:hAnsi="Calibri" w:cs="Calibri"/>
          <w:b/>
          <w:bCs/>
          <w:color w:val="1A1A1A"/>
          <w:sz w:val="19"/>
          <w:szCs w:val="19"/>
        </w:rPr>
        <w:t>A/B testing</w:t>
      </w:r>
      <w:r>
        <w:rPr>
          <w:rFonts w:ascii="Calibri" w:eastAsia="Calibri" w:hAnsi="Calibri" w:cs="Calibri"/>
          <w:color w:val="1A1A1A"/>
          <w:sz w:val="19"/>
          <w:szCs w:val="19"/>
        </w:rPr>
        <w:t xml:space="preserve"> content layout, which enhanced market responsiveness by 30%.</w:t>
      </w:r>
    </w:p>
    <w:p w14:paraId="1AD5F580"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Improved Speed to Market rate by 40% by creating </w:t>
      </w:r>
      <w:r>
        <w:rPr>
          <w:rFonts w:ascii="Calibri" w:eastAsia="Calibri" w:hAnsi="Calibri" w:cs="Calibri"/>
          <w:b/>
          <w:bCs/>
          <w:color w:val="1A1A1A"/>
          <w:sz w:val="19"/>
          <w:szCs w:val="19"/>
        </w:rPr>
        <w:t>reusable block strategies</w:t>
      </w:r>
      <w:r>
        <w:rPr>
          <w:rFonts w:ascii="Calibri" w:eastAsia="Calibri" w:hAnsi="Calibri" w:cs="Calibri"/>
          <w:color w:val="1A1A1A"/>
          <w:sz w:val="19"/>
          <w:szCs w:val="19"/>
        </w:rPr>
        <w:t xml:space="preserve"> and using attribute-based targeting.</w:t>
      </w:r>
    </w:p>
    <w:p w14:paraId="1D37FBEE"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Managed procedure documentation, collaborated with </w:t>
      </w:r>
      <w:r>
        <w:rPr>
          <w:rFonts w:ascii="Calibri" w:eastAsia="Calibri" w:hAnsi="Calibri" w:cs="Calibri"/>
          <w:b/>
          <w:bCs/>
          <w:color w:val="1A1A1A"/>
          <w:sz w:val="19"/>
          <w:szCs w:val="19"/>
        </w:rPr>
        <w:t>Control</w:t>
      </w:r>
      <w:r>
        <w:rPr>
          <w:rFonts w:ascii="Calibri" w:eastAsia="Calibri" w:hAnsi="Calibri" w:cs="Calibri"/>
          <w:color w:val="1A1A1A"/>
          <w:sz w:val="19"/>
          <w:szCs w:val="19"/>
        </w:rPr>
        <w:t xml:space="preserve"> partners and </w:t>
      </w:r>
      <w:r>
        <w:rPr>
          <w:rFonts w:ascii="Calibri" w:eastAsia="Calibri" w:hAnsi="Calibri" w:cs="Calibri"/>
          <w:b/>
          <w:bCs/>
          <w:color w:val="1A1A1A"/>
          <w:sz w:val="19"/>
          <w:szCs w:val="19"/>
        </w:rPr>
        <w:t>Legal</w:t>
      </w:r>
      <w:r>
        <w:rPr>
          <w:rFonts w:ascii="Calibri" w:eastAsia="Calibri" w:hAnsi="Calibri" w:cs="Calibri"/>
          <w:color w:val="1A1A1A"/>
          <w:sz w:val="19"/>
          <w:szCs w:val="19"/>
        </w:rPr>
        <w:t xml:space="preserve"> team to streamline processing, leading to successful audits.</w:t>
      </w:r>
    </w:p>
    <w:p w14:paraId="07C8976E"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Transformed the </w:t>
      </w:r>
      <w:r>
        <w:rPr>
          <w:rFonts w:ascii="Calibri" w:eastAsia="Calibri" w:hAnsi="Calibri" w:cs="Calibri"/>
          <w:b/>
          <w:bCs/>
          <w:color w:val="1A1A1A"/>
          <w:sz w:val="19"/>
          <w:szCs w:val="19"/>
        </w:rPr>
        <w:t>Intake</w:t>
      </w:r>
      <w:r>
        <w:rPr>
          <w:rFonts w:ascii="Calibri" w:eastAsia="Calibri" w:hAnsi="Calibri" w:cs="Calibri"/>
          <w:color w:val="1A1A1A"/>
          <w:sz w:val="19"/>
          <w:szCs w:val="19"/>
        </w:rPr>
        <w:t xml:space="preserve"> process, which resulted in a 50% reduction in incorrect request submissions.</w:t>
      </w:r>
    </w:p>
    <w:p w14:paraId="356612C1"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Collaborated with cross-functional teams on IT migration projects, enhancing the operational efficiency of advertising delivery. </w:t>
      </w:r>
      <w:r>
        <w:rPr>
          <w:rFonts w:ascii="Calibri" w:eastAsia="Calibri" w:hAnsi="Calibri" w:cs="Calibri"/>
          <w:b/>
          <w:bCs/>
          <w:color w:val="1A1A1A"/>
          <w:sz w:val="19"/>
          <w:szCs w:val="19"/>
        </w:rPr>
        <w:t>PEGA to Sapiens</w:t>
      </w:r>
      <w:r>
        <w:rPr>
          <w:rFonts w:ascii="Calibri" w:eastAsia="Calibri" w:hAnsi="Calibri" w:cs="Calibri"/>
          <w:color w:val="1A1A1A"/>
          <w:sz w:val="19"/>
          <w:szCs w:val="19"/>
        </w:rPr>
        <w:t>.</w:t>
      </w:r>
    </w:p>
    <w:p w14:paraId="27EA4E02"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Revamped post-production campaign validation, utilizing Adobe Analytics, which dramatically cut down maintenance time and improved campaign effectiveness and visualization.</w:t>
      </w:r>
    </w:p>
    <w:p w14:paraId="62BF58AC" w14:textId="77777777" w:rsidR="00C005EC" w:rsidRDefault="00000000">
      <w:pPr>
        <w:tabs>
          <w:tab w:val="right" w:pos="10080"/>
        </w:tabs>
        <w:spacing w:before="160" w:after="30"/>
      </w:pPr>
      <w:r>
        <w:rPr>
          <w:rFonts w:ascii="Calibri" w:eastAsia="Calibri" w:hAnsi="Calibri" w:cs="Calibri"/>
          <w:b/>
          <w:bCs/>
          <w:color w:val="1B3A5C"/>
          <w:sz w:val="21"/>
          <w:szCs w:val="21"/>
        </w:rPr>
        <w:t>Quant Analytics Associate, Audience Targeting – Process Improvement and Quality | JP Morgan</w:t>
      </w:r>
      <w:r>
        <w:tab/>
      </w:r>
      <w:r>
        <w:rPr>
          <w:rFonts w:ascii="Calibri" w:eastAsia="Calibri" w:hAnsi="Calibri" w:cs="Calibri"/>
          <w:i/>
          <w:iCs/>
          <w:color w:val="555555"/>
          <w:sz w:val="18"/>
          <w:szCs w:val="18"/>
        </w:rPr>
        <w:t>Jul 2019–May 2021</w:t>
      </w:r>
    </w:p>
    <w:p w14:paraId="61B9B64B"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Led the migration from CUST_DIM_NB to ECI, improving audience targeting capabilities by applying </w:t>
      </w:r>
      <w:r>
        <w:rPr>
          <w:rFonts w:ascii="Calibri" w:eastAsia="Calibri" w:hAnsi="Calibri" w:cs="Calibri"/>
          <w:b/>
          <w:bCs/>
          <w:color w:val="1A1A1A"/>
          <w:sz w:val="19"/>
          <w:szCs w:val="19"/>
        </w:rPr>
        <w:t>analytical methodologies</w:t>
      </w:r>
      <w:r>
        <w:rPr>
          <w:rFonts w:ascii="Calibri" w:eastAsia="Calibri" w:hAnsi="Calibri" w:cs="Calibri"/>
          <w:color w:val="1A1A1A"/>
          <w:sz w:val="19"/>
          <w:szCs w:val="19"/>
        </w:rPr>
        <w:t xml:space="preserve"> and collaborating closely with key stakeholders; ensured zero errors during validation.</w:t>
      </w:r>
    </w:p>
    <w:p w14:paraId="2C934618"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Increased the </w:t>
      </w:r>
      <w:r>
        <w:rPr>
          <w:rFonts w:ascii="Calibri" w:eastAsia="Calibri" w:hAnsi="Calibri" w:cs="Calibri"/>
          <w:b/>
          <w:bCs/>
          <w:color w:val="1A1A1A"/>
          <w:sz w:val="19"/>
          <w:szCs w:val="19"/>
        </w:rPr>
        <w:t>quality control process efficiency by 25%</w:t>
      </w:r>
      <w:r>
        <w:rPr>
          <w:rFonts w:ascii="Calibri" w:eastAsia="Calibri" w:hAnsi="Calibri" w:cs="Calibri"/>
          <w:color w:val="1A1A1A"/>
          <w:sz w:val="19"/>
          <w:szCs w:val="19"/>
        </w:rPr>
        <w:t xml:space="preserve">, leveraging </w:t>
      </w:r>
      <w:r>
        <w:rPr>
          <w:rFonts w:ascii="Calibri" w:eastAsia="Calibri" w:hAnsi="Calibri" w:cs="Calibri"/>
          <w:b/>
          <w:bCs/>
          <w:color w:val="1A1A1A"/>
          <w:sz w:val="19"/>
          <w:szCs w:val="19"/>
        </w:rPr>
        <w:t>automation</w:t>
      </w:r>
      <w:r>
        <w:rPr>
          <w:rFonts w:ascii="Calibri" w:eastAsia="Calibri" w:hAnsi="Calibri" w:cs="Calibri"/>
          <w:color w:val="1A1A1A"/>
          <w:sz w:val="19"/>
          <w:szCs w:val="19"/>
        </w:rPr>
        <w:t xml:space="preserve"> for task simplifications and </w:t>
      </w:r>
      <w:r>
        <w:rPr>
          <w:rFonts w:ascii="Calibri" w:eastAsia="Calibri" w:hAnsi="Calibri" w:cs="Calibri"/>
          <w:b/>
          <w:bCs/>
          <w:color w:val="1A1A1A"/>
          <w:sz w:val="19"/>
          <w:szCs w:val="19"/>
        </w:rPr>
        <w:t>maximizing resource utilization</w:t>
      </w:r>
      <w:r>
        <w:rPr>
          <w:rFonts w:ascii="Calibri" w:eastAsia="Calibri" w:hAnsi="Calibri" w:cs="Calibri"/>
          <w:color w:val="1A1A1A"/>
          <w:sz w:val="19"/>
          <w:szCs w:val="19"/>
        </w:rPr>
        <w:t>.</w:t>
      </w:r>
    </w:p>
    <w:p w14:paraId="28F4E14F"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Owned Procedure and Control management for Marketing Analytics, leading to unmatched consistency and clarity in the audience targeting strategy.</w:t>
      </w:r>
    </w:p>
    <w:p w14:paraId="55745E54" w14:textId="77777777" w:rsidR="00C005EC" w:rsidRDefault="00000000">
      <w:pPr>
        <w:tabs>
          <w:tab w:val="right" w:pos="10080"/>
        </w:tabs>
        <w:spacing w:before="160" w:after="30"/>
      </w:pPr>
      <w:r>
        <w:rPr>
          <w:rFonts w:ascii="Calibri" w:eastAsia="Calibri" w:hAnsi="Calibri" w:cs="Calibri"/>
          <w:b/>
          <w:bCs/>
          <w:color w:val="1B3A5C"/>
          <w:sz w:val="21"/>
          <w:szCs w:val="21"/>
        </w:rPr>
        <w:t>Business Analyst – Marketing Execution Validation | JP Morgan &amp; Chase | Mumbai</w:t>
      </w:r>
      <w:r>
        <w:tab/>
      </w:r>
      <w:r>
        <w:rPr>
          <w:rFonts w:ascii="Calibri" w:eastAsia="Calibri" w:hAnsi="Calibri" w:cs="Calibri"/>
          <w:i/>
          <w:iCs/>
          <w:color w:val="555555"/>
          <w:sz w:val="18"/>
          <w:szCs w:val="18"/>
        </w:rPr>
        <w:t>May 2017–Jun 2019</w:t>
      </w:r>
    </w:p>
    <w:p w14:paraId="6C53930E"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Executed comprehensive content and functional validations of marketing campaigns, ensuring they adhered to compliance standards, enhancing campaign credibility.</w:t>
      </w:r>
    </w:p>
    <w:p w14:paraId="5D3D786B"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Contributed to process simplification and operational improvements through detailed analysis, which supported the transition to a new campaign management platform.</w:t>
      </w:r>
    </w:p>
    <w:p w14:paraId="1A419649" w14:textId="77777777" w:rsidR="00C005EC" w:rsidRDefault="00000000">
      <w:pPr>
        <w:tabs>
          <w:tab w:val="right" w:pos="10080"/>
        </w:tabs>
        <w:spacing w:before="160" w:after="30"/>
      </w:pPr>
      <w:r>
        <w:rPr>
          <w:rFonts w:ascii="Calibri" w:eastAsia="Calibri" w:hAnsi="Calibri" w:cs="Calibri"/>
          <w:b/>
          <w:bCs/>
          <w:color w:val="1B3A5C"/>
          <w:sz w:val="21"/>
          <w:szCs w:val="21"/>
        </w:rPr>
        <w:t>Sr. Specialist Operational Risk Review – Deposit Review | JP Morgan &amp; Chase | Mumbai</w:t>
      </w:r>
      <w:r>
        <w:tab/>
      </w:r>
      <w:r>
        <w:rPr>
          <w:rFonts w:ascii="Calibri" w:eastAsia="Calibri" w:hAnsi="Calibri" w:cs="Calibri"/>
          <w:i/>
          <w:iCs/>
          <w:color w:val="555555"/>
          <w:sz w:val="18"/>
          <w:szCs w:val="18"/>
        </w:rPr>
        <w:t>Apr 2013–Apr 2017</w:t>
      </w:r>
    </w:p>
    <w:p w14:paraId="612F3A32"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 xml:space="preserve">Led a team in identifying operational risks and formulating </w:t>
      </w:r>
      <w:r>
        <w:rPr>
          <w:rFonts w:ascii="Calibri" w:eastAsia="Calibri" w:hAnsi="Calibri" w:cs="Calibri"/>
          <w:b/>
          <w:bCs/>
          <w:color w:val="1A1A1A"/>
          <w:sz w:val="19"/>
          <w:szCs w:val="19"/>
        </w:rPr>
        <w:t>risk mitigation</w:t>
      </w:r>
      <w:r>
        <w:rPr>
          <w:rFonts w:ascii="Calibri" w:eastAsia="Calibri" w:hAnsi="Calibri" w:cs="Calibri"/>
          <w:color w:val="1A1A1A"/>
          <w:sz w:val="19"/>
          <w:szCs w:val="19"/>
        </w:rPr>
        <w:t xml:space="preserve"> strategies that significantly lowered potential financial losses. Saved more than $8M.</w:t>
      </w:r>
    </w:p>
    <w:p w14:paraId="6BD87B89"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Established streamlined processes through project planning that increased customer satisfaction levels while optimizing resource use. Reduced the cost of using Lexis Nexus tool by 25%.</w:t>
      </w:r>
    </w:p>
    <w:p w14:paraId="6B081BC5" w14:textId="77777777" w:rsidR="00C005EC" w:rsidRDefault="00000000">
      <w:pPr>
        <w:tabs>
          <w:tab w:val="right" w:pos="10080"/>
        </w:tabs>
        <w:spacing w:before="160" w:after="30"/>
      </w:pPr>
      <w:r>
        <w:rPr>
          <w:rFonts w:ascii="Calibri" w:eastAsia="Calibri" w:hAnsi="Calibri" w:cs="Calibri"/>
          <w:b/>
          <w:bCs/>
          <w:color w:val="1B3A5C"/>
          <w:sz w:val="21"/>
          <w:szCs w:val="21"/>
        </w:rPr>
        <w:t>Financial Advisor – Credit Card Operations | JP Morgan &amp; Chase | Mumbai</w:t>
      </w:r>
      <w:r>
        <w:tab/>
      </w:r>
      <w:r>
        <w:rPr>
          <w:rFonts w:ascii="Calibri" w:eastAsia="Calibri" w:hAnsi="Calibri" w:cs="Calibri"/>
          <w:i/>
          <w:iCs/>
          <w:color w:val="555555"/>
          <w:sz w:val="18"/>
          <w:szCs w:val="18"/>
        </w:rPr>
        <w:t>Jun 2011–Mar 2013</w:t>
      </w:r>
    </w:p>
    <w:p w14:paraId="311E4F13" w14:textId="77777777" w:rsidR="00C005EC" w:rsidRDefault="00000000">
      <w:pPr>
        <w:pStyle w:val="ListParagraph"/>
        <w:numPr>
          <w:ilvl w:val="0"/>
          <w:numId w:val="2"/>
        </w:numPr>
        <w:spacing w:before="30" w:after="50"/>
      </w:pPr>
      <w:r>
        <w:rPr>
          <w:rFonts w:ascii="Calibri" w:eastAsia="Calibri" w:hAnsi="Calibri" w:cs="Calibri"/>
          <w:color w:val="1A1A1A"/>
          <w:sz w:val="19"/>
          <w:szCs w:val="19"/>
        </w:rPr>
        <w:t>Maintained stellar customer satisfaction through consistent high-quality service and efficient problem resolution in credit card operations.</w:t>
      </w:r>
    </w:p>
    <w:p w14:paraId="72CC6524" w14:textId="77777777" w:rsidR="00C005EC" w:rsidRDefault="00000000">
      <w:pPr>
        <w:spacing w:before="220" w:after="60"/>
      </w:pPr>
      <w:r>
        <w:rPr>
          <w:rFonts w:ascii="Calibri" w:eastAsia="Calibri" w:hAnsi="Calibri" w:cs="Calibri"/>
          <w:b/>
          <w:bCs/>
          <w:color w:val="1B3A5C"/>
          <w:spacing w:val="60"/>
          <w:sz w:val="22"/>
          <w:szCs w:val="22"/>
        </w:rPr>
        <w:t>EDUCATION</w:t>
      </w:r>
    </w:p>
    <w:p w14:paraId="2650FCBB" w14:textId="77777777" w:rsidR="00C005EC" w:rsidRDefault="00C005EC">
      <w:pPr>
        <w:pBdr>
          <w:bottom w:val="single" w:sz="10" w:space="0" w:color="2E75B6"/>
        </w:pBdr>
        <w:spacing w:after="100"/>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040"/>
        <w:gridCol w:w="5040"/>
      </w:tblGrid>
      <w:tr w:rsidR="00C005EC" w14:paraId="2468E9A5" w14:textId="77777777">
        <w:tc>
          <w:tcPr>
            <w:tcW w:w="5040" w:type="dxa"/>
            <w:tcBorders>
              <w:top w:val="none" w:sz="0" w:space="0" w:color="FFFFFF"/>
              <w:left w:val="none" w:sz="0" w:space="0" w:color="FFFFFF"/>
              <w:bottom w:val="none" w:sz="0" w:space="0" w:color="FFFFFF"/>
              <w:right w:val="none" w:sz="0" w:space="0" w:color="FFFFFF"/>
            </w:tcBorders>
            <w:tcMar>
              <w:top w:w="60" w:type="dxa"/>
              <w:left w:w="0" w:type="dxa"/>
              <w:bottom w:w="60" w:type="dxa"/>
              <w:right w:w="100" w:type="dxa"/>
            </w:tcMar>
          </w:tcPr>
          <w:p w14:paraId="0BFC6615" w14:textId="77777777" w:rsidR="00C005EC" w:rsidRPr="00010EB7" w:rsidRDefault="00000000">
            <w:pPr>
              <w:rPr>
                <w:sz w:val="24"/>
                <w:szCs w:val="24"/>
              </w:rPr>
            </w:pPr>
            <w:r>
              <w:rPr>
                <w:rFonts w:ascii="Calibri" w:eastAsia="Calibri" w:hAnsi="Calibri" w:cs="Calibri"/>
                <w:b/>
                <w:bCs/>
                <w:color w:val="1B3A5C"/>
                <w:sz w:val="24"/>
                <w:szCs w:val="24"/>
              </w:rPr>
              <w:t>MBA in Business Analytics | IMT Ghaziabad</w:t>
            </w:r>
          </w:p>
        </w:tc>
        <w:tc>
          <w:tcPr>
            <w:tcW w:w="5040" w:type="dxa"/>
            <w:tcBorders>
              <w:top w:val="none" w:sz="0" w:space="0" w:color="FFFFFF"/>
              <w:left w:val="none" w:sz="0" w:space="0" w:color="FFFFFF"/>
              <w:bottom w:val="none" w:sz="0" w:space="0" w:color="FFFFFF"/>
              <w:right w:val="none" w:sz="0" w:space="0" w:color="FFFFFF"/>
            </w:tcBorders>
            <w:tcMar>
              <w:top w:w="60" w:type="dxa"/>
              <w:left w:w="100" w:type="dxa"/>
              <w:bottom w:w="60" w:type="dxa"/>
              <w:right w:w="0" w:type="dxa"/>
            </w:tcMar>
          </w:tcPr>
          <w:p w14:paraId="6CE4E66E" w14:textId="4431A7D5" w:rsidR="00C005EC" w:rsidRDefault="00C005EC"/>
        </w:tc>
      </w:tr>
    </w:tbl>
    <w:p w14:paraId="6CC7E52C" w14:textId="363BFA97" w:rsidR="00C005EC" w:rsidRDefault="00000000" w:rsidP="00E7720D">
      <w:pPr>
        <w:spacing w:before="220" w:after="60"/>
      </w:pPr>
      <w:r>
        <w:rPr>
          <w:rFonts w:ascii="Calibri" w:eastAsia="Calibri" w:hAnsi="Calibri" w:cs="Calibri"/>
          <w:b/>
          <w:bCs/>
          <w:color w:val="1B3A5C"/>
          <w:spacing w:val="60"/>
          <w:sz w:val="22"/>
          <w:szCs w:val="22"/>
        </w:rPr>
        <w:t>SKILLS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005EC" w14:paraId="2E0BB31F" w14:textId="77777777">
        <w:tc>
          <w:tcPr>
            <w:tcW w:w="10080" w:type="dxa"/>
            <w:tcBorders>
              <w:top w:val="none" w:sz="0" w:space="0" w:color="FFFFFF"/>
              <w:left w:val="none" w:sz="0" w:space="0" w:color="FFFFFF"/>
              <w:bottom w:val="none" w:sz="0" w:space="0" w:color="FFFFFF"/>
              <w:right w:val="none" w:sz="0" w:space="0" w:color="FFFFFF"/>
            </w:tcBorders>
            <w:shd w:val="clear" w:color="auto" w:fill="EBF2FA"/>
            <w:tcMar>
              <w:top w:w="120" w:type="dxa"/>
              <w:left w:w="160" w:type="dxa"/>
              <w:bottom w:w="120" w:type="dxa"/>
              <w:right w:w="160" w:type="dxa"/>
            </w:tcMar>
          </w:tcPr>
          <w:p w14:paraId="4BAFB04F" w14:textId="77777777" w:rsidR="00C005EC" w:rsidRDefault="00000000">
            <w:pPr>
              <w:jc w:val="center"/>
            </w:pPr>
            <w:r>
              <w:rPr>
                <w:rFonts w:ascii="Calibri" w:eastAsia="Calibri" w:hAnsi="Calibri" w:cs="Calibri"/>
                <w:color w:val="1A1A1A"/>
                <w:sz w:val="19"/>
                <w:szCs w:val="19"/>
              </w:rPr>
              <w:t>Product Lifecycle Management  •  Agile &amp; Scrum Methodologies  •  Customer Experience &amp; Journey Mapping  •  Prioritization  •  Enterprise Solutions  •  AI &amp; Decision Intelligence  •  Story Telling  •  Digital Marketing Strategy  •  Data Analytics &amp; Insights  •  Stakeholder Engagement  •  AML  •  Cross-Functional Collaboration  •  Process Improvement &amp; Automation  •  Risk &amp; Controls Management  •  Supplier Relations Management  •  SaaS – PaaS  •  Regulatory and Compliance knowledge  •  SDLC</w:t>
            </w:r>
          </w:p>
        </w:tc>
      </w:tr>
    </w:tbl>
    <w:p w14:paraId="5FA8101C" w14:textId="36093A6A" w:rsidR="00C005EC" w:rsidRDefault="00000000" w:rsidP="00E7720D">
      <w:pPr>
        <w:spacing w:before="220" w:after="60"/>
      </w:pPr>
      <w:r>
        <w:rPr>
          <w:rFonts w:ascii="Calibri" w:eastAsia="Calibri" w:hAnsi="Calibri" w:cs="Calibri"/>
          <w:b/>
          <w:bCs/>
          <w:color w:val="1B3A5C"/>
          <w:spacing w:val="60"/>
          <w:sz w:val="22"/>
          <w:szCs w:val="22"/>
        </w:rPr>
        <w:t>CERTIFICATIONS &amp; TECHNICAL SKILLS</w:t>
      </w: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080"/>
      </w:tblGrid>
      <w:tr w:rsidR="00C005EC" w14:paraId="4D7EE095" w14:textId="77777777">
        <w:tc>
          <w:tcPr>
            <w:tcW w:w="10080" w:type="dxa"/>
            <w:tcBorders>
              <w:top w:val="none" w:sz="0" w:space="0" w:color="FFFFFF"/>
              <w:left w:val="none" w:sz="0" w:space="0" w:color="FFFFFF"/>
              <w:bottom w:val="none" w:sz="0" w:space="0" w:color="FFFFFF"/>
              <w:right w:val="none" w:sz="0" w:space="0" w:color="FFFFFF"/>
            </w:tcBorders>
            <w:shd w:val="clear" w:color="auto" w:fill="EBF2FA"/>
            <w:tcMar>
              <w:top w:w="120" w:type="dxa"/>
              <w:left w:w="160" w:type="dxa"/>
              <w:bottom w:w="120" w:type="dxa"/>
              <w:right w:w="160" w:type="dxa"/>
            </w:tcMar>
          </w:tcPr>
          <w:p w14:paraId="4D7EE096" w14:textId="77777777" w:rsidR="00C005EC" w:rsidRDefault="00000000">
            <w:pPr>
              <w:jc w:val="center"/>
            </w:pPr>
            <w:r>
              <w:rPr>
                <w:rFonts w:ascii="Calibri" w:eastAsia="Calibri" w:hAnsi="Calibri" w:cs="Calibri"/>
                <w:color w:val="1A1A1A"/>
                <w:sz w:val="19"/>
                <w:szCs w:val="19"/>
              </w:rPr>
              <w:t>AWS Essentials  •  Prompt Engineering  •  Certified Scrum Master  •  Certified Product Owner  •  Sapiens Decision Manager - Author  •  Pega rules writer and editor  •  Base SAS – SQL - EDP  •  JIRA  •  Abinitio  •  CAMS - CFCS  •  Tableau  •  Teradata  •  Snowflake  •  AEM-Adobe Experience Manager  •  AWS Cloud Practitioner</w:t>
            </w:r>
          </w:p>
        </w:tc>
      </w:tr>
    </w:tbl>
    <w:sectPr w:rsidR="00E16644">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1213"/>
    <w:multiLevelType w:val="hybridMultilevel"/>
    <w:tmpl w:val="3030FD08"/>
    <w:lvl w:ilvl="0" w:tplc="DAD811FE">
      <w:start w:val="1"/>
      <w:numFmt w:val="bullet"/>
      <w:lvlText w:val="•"/>
      <w:lvlJc w:val="left"/>
      <w:pPr>
        <w:ind w:left="540" w:hanging="270"/>
      </w:pPr>
    </w:lvl>
    <w:lvl w:ilvl="1" w:tplc="854EA6BE">
      <w:numFmt w:val="decimal"/>
      <w:lvlText w:val=""/>
      <w:lvlJc w:val="left"/>
    </w:lvl>
    <w:lvl w:ilvl="2" w:tplc="6C56A094">
      <w:numFmt w:val="decimal"/>
      <w:lvlText w:val=""/>
      <w:lvlJc w:val="left"/>
    </w:lvl>
    <w:lvl w:ilvl="3" w:tplc="00B0B082">
      <w:numFmt w:val="decimal"/>
      <w:lvlText w:val=""/>
      <w:lvlJc w:val="left"/>
    </w:lvl>
    <w:lvl w:ilvl="4" w:tplc="DDF21F3C">
      <w:numFmt w:val="decimal"/>
      <w:lvlText w:val=""/>
      <w:lvlJc w:val="left"/>
    </w:lvl>
    <w:lvl w:ilvl="5" w:tplc="91829722">
      <w:numFmt w:val="decimal"/>
      <w:lvlText w:val=""/>
      <w:lvlJc w:val="left"/>
    </w:lvl>
    <w:lvl w:ilvl="6" w:tplc="7D720BB2">
      <w:numFmt w:val="decimal"/>
      <w:lvlText w:val=""/>
      <w:lvlJc w:val="left"/>
    </w:lvl>
    <w:lvl w:ilvl="7" w:tplc="19763B6C">
      <w:numFmt w:val="decimal"/>
      <w:lvlText w:val=""/>
      <w:lvlJc w:val="left"/>
    </w:lvl>
    <w:lvl w:ilvl="8" w:tplc="FC3422C2">
      <w:numFmt w:val="decimal"/>
      <w:lvlText w:val=""/>
      <w:lvlJc w:val="left"/>
    </w:lvl>
  </w:abstractNum>
  <w:abstractNum w:abstractNumId="1" w15:restartNumberingAfterBreak="0">
    <w:nsid w:val="566E08A2"/>
    <w:multiLevelType w:val="hybridMultilevel"/>
    <w:tmpl w:val="B2423252"/>
    <w:lvl w:ilvl="0" w:tplc="FD8EF384">
      <w:start w:val="1"/>
      <w:numFmt w:val="bullet"/>
      <w:lvlText w:val="●"/>
      <w:lvlJc w:val="left"/>
      <w:pPr>
        <w:ind w:left="720" w:hanging="360"/>
      </w:pPr>
    </w:lvl>
    <w:lvl w:ilvl="1" w:tplc="B8F6655C">
      <w:start w:val="1"/>
      <w:numFmt w:val="bullet"/>
      <w:lvlText w:val="○"/>
      <w:lvlJc w:val="left"/>
      <w:pPr>
        <w:ind w:left="1440" w:hanging="360"/>
      </w:pPr>
    </w:lvl>
    <w:lvl w:ilvl="2" w:tplc="D73A8970">
      <w:start w:val="1"/>
      <w:numFmt w:val="bullet"/>
      <w:lvlText w:val="■"/>
      <w:lvlJc w:val="left"/>
      <w:pPr>
        <w:ind w:left="2160" w:hanging="360"/>
      </w:pPr>
    </w:lvl>
    <w:lvl w:ilvl="3" w:tplc="F2E604A0">
      <w:start w:val="1"/>
      <w:numFmt w:val="bullet"/>
      <w:lvlText w:val="●"/>
      <w:lvlJc w:val="left"/>
      <w:pPr>
        <w:ind w:left="2880" w:hanging="360"/>
      </w:pPr>
    </w:lvl>
    <w:lvl w:ilvl="4" w:tplc="D6D65F58">
      <w:start w:val="1"/>
      <w:numFmt w:val="bullet"/>
      <w:lvlText w:val="○"/>
      <w:lvlJc w:val="left"/>
      <w:pPr>
        <w:ind w:left="3600" w:hanging="360"/>
      </w:pPr>
    </w:lvl>
    <w:lvl w:ilvl="5" w:tplc="173EF1A2">
      <w:start w:val="1"/>
      <w:numFmt w:val="bullet"/>
      <w:lvlText w:val="■"/>
      <w:lvlJc w:val="left"/>
      <w:pPr>
        <w:ind w:left="4320" w:hanging="360"/>
      </w:pPr>
    </w:lvl>
    <w:lvl w:ilvl="6" w:tplc="8F149106">
      <w:start w:val="1"/>
      <w:numFmt w:val="bullet"/>
      <w:lvlText w:val="●"/>
      <w:lvlJc w:val="left"/>
      <w:pPr>
        <w:ind w:left="5040" w:hanging="360"/>
      </w:pPr>
    </w:lvl>
    <w:lvl w:ilvl="7" w:tplc="2CE81804">
      <w:start w:val="1"/>
      <w:numFmt w:val="bullet"/>
      <w:lvlText w:val="●"/>
      <w:lvlJc w:val="left"/>
      <w:pPr>
        <w:ind w:left="5760" w:hanging="360"/>
      </w:pPr>
    </w:lvl>
    <w:lvl w:ilvl="8" w:tplc="DB1689D4">
      <w:start w:val="1"/>
      <w:numFmt w:val="bullet"/>
      <w:lvlText w:val="●"/>
      <w:lvlJc w:val="left"/>
      <w:pPr>
        <w:ind w:left="6480" w:hanging="360"/>
      </w:pPr>
    </w:lvl>
  </w:abstractNum>
  <w:num w:numId="1" w16cid:durableId="1996452786">
    <w:abstractNumId w:val="1"/>
    <w:lvlOverride w:ilvl="0">
      <w:startOverride w:val="1"/>
    </w:lvlOverride>
  </w:num>
  <w:num w:numId="2" w16cid:durableId="113745309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5EC"/>
    <w:rsid w:val="00010EB7"/>
    <w:rsid w:val="004020A2"/>
    <w:rsid w:val="00990C1D"/>
    <w:rsid w:val="009A54F8"/>
    <w:rsid w:val="009C0811"/>
    <w:rsid w:val="00C005EC"/>
    <w:rsid w:val="00D95365"/>
    <w:rsid w:val="00E16644"/>
    <w:rsid w:val="00E772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9E73A8"/>
  <w15:docId w15:val="{80AB9C3C-63C4-495E-9E99-BB872ED80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1189</Words>
  <Characters>6783</Characters>
  <Application>Microsoft Office Word</Application>
  <DocSecurity>0</DocSecurity>
  <Lines>56</Lines>
  <Paragraphs>15</Paragraphs>
  <ScaleCrop>false</ScaleCrop>
  <Company/>
  <LinksUpToDate>false</LinksUpToDate>
  <CharactersWithSpaces>7957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NAVYANAYAN4B@miraroad2020.onmicrosoft.com</cp:lastModifiedBy>
  <cp:revision>5</cp:revision>
  <dcterms:created xsi:type="dcterms:W3CDTF">2026-05-13T01:19:00Z</dcterms:created>
  <dcterms:modified xsi:type="dcterms:W3CDTF">2026-05-14T09:57:00Z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dfbd259f-73b0-419b-8565-ebb9d8b50bd2</vt:lpwstr>
  </property>
</Properties>
</file>